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E2BA" w14:textId="4D6C6848" w:rsidR="0050260B" w:rsidRPr="00996935" w:rsidRDefault="0050260B" w:rsidP="005026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ÅRSMELDING 202</w:t>
      </w:r>
      <w:r w:rsidR="00761787">
        <w:rPr>
          <w:b/>
          <w:sz w:val="32"/>
          <w:szCs w:val="32"/>
        </w:rPr>
        <w:t>3</w:t>
      </w:r>
      <w:r w:rsidRPr="00996935">
        <w:rPr>
          <w:b/>
          <w:sz w:val="32"/>
          <w:szCs w:val="32"/>
        </w:rPr>
        <w:t xml:space="preserve"> HOVDEN GOLFKLUBB</w:t>
      </w:r>
    </w:p>
    <w:p w14:paraId="3A0DC0E7" w14:textId="77777777" w:rsidR="004B2D35" w:rsidRDefault="004B2D35" w:rsidP="0050260B">
      <w:pPr>
        <w:pStyle w:val="Ingenmellomrom"/>
      </w:pPr>
    </w:p>
    <w:p w14:paraId="3CAE34C3" w14:textId="1DB75A89" w:rsidR="00081DDF" w:rsidRDefault="008D75C6" w:rsidP="0050260B">
      <w:pPr>
        <w:pStyle w:val="Ingenmellomrom"/>
      </w:pPr>
      <w:r>
        <w:t xml:space="preserve">Ørnefjell golfbanes driftssesong var </w:t>
      </w:r>
      <w:r w:rsidR="00B44289">
        <w:t xml:space="preserve">fra </w:t>
      </w:r>
      <w:r w:rsidR="00597D19">
        <w:t>2</w:t>
      </w:r>
      <w:r w:rsidR="000F1851">
        <w:t>2</w:t>
      </w:r>
      <w:r w:rsidR="00597D19">
        <w:t xml:space="preserve">.05 til </w:t>
      </w:r>
      <w:r w:rsidR="00064C30">
        <w:t>27.10</w:t>
      </w:r>
      <w:r w:rsidR="00244507">
        <w:t>.</w:t>
      </w:r>
      <w:r w:rsidR="00597D19">
        <w:t xml:space="preserve"> </w:t>
      </w:r>
    </w:p>
    <w:p w14:paraId="3F7A42BA" w14:textId="77777777" w:rsidR="000A42CA" w:rsidRDefault="000A42CA" w:rsidP="0050260B">
      <w:pPr>
        <w:pStyle w:val="Ingenmellomrom"/>
      </w:pPr>
    </w:p>
    <w:p w14:paraId="5E2C3CC3" w14:textId="0DEDC513" w:rsidR="000A42CA" w:rsidRDefault="000A42CA" w:rsidP="0050260B">
      <w:pPr>
        <w:pStyle w:val="Ingenmellomrom"/>
      </w:pPr>
      <w:r>
        <w:t xml:space="preserve">Vi har hatt økning </w:t>
      </w:r>
      <w:r w:rsidR="007941CD">
        <w:t>i inntekter på greenfee og medlemskontingent – noe som betyr økt trafikk på banen</w:t>
      </w:r>
      <w:r w:rsidR="00646DA1">
        <w:t>.</w:t>
      </w:r>
    </w:p>
    <w:p w14:paraId="32C6CE21" w14:textId="77777777" w:rsidR="00646DA1" w:rsidRDefault="00646DA1" w:rsidP="0050260B">
      <w:pPr>
        <w:pStyle w:val="Ingenmellomrom"/>
      </w:pPr>
    </w:p>
    <w:p w14:paraId="67F0B658" w14:textId="4E7CE95B" w:rsidR="00646DA1" w:rsidRDefault="00646DA1" w:rsidP="0050260B">
      <w:pPr>
        <w:pStyle w:val="Ingenmellomrom"/>
      </w:pPr>
      <w:r>
        <w:t xml:space="preserve">Vi må likevel jobbe godt framover </w:t>
      </w:r>
      <w:r w:rsidR="00434F79">
        <w:t>for å få flere besøkende og flere medlemmer. Vi har god plass på banen ennå.</w:t>
      </w:r>
    </w:p>
    <w:p w14:paraId="2A1D5A48" w14:textId="77777777" w:rsidR="00081DDF" w:rsidRPr="00081DDF" w:rsidRDefault="00081DDF" w:rsidP="0050260B">
      <w:pPr>
        <w:pStyle w:val="Ingenmellomrom"/>
      </w:pPr>
    </w:p>
    <w:p w14:paraId="431D5253" w14:textId="0EE8014E" w:rsidR="00C035D9" w:rsidRDefault="00D37DE0" w:rsidP="0050260B">
      <w:pPr>
        <w:pStyle w:val="Ingenmellomrom"/>
      </w:pPr>
      <w:r>
        <w:t xml:space="preserve">Det har </w:t>
      </w:r>
      <w:r w:rsidR="00402C52">
        <w:t xml:space="preserve">som vanlig </w:t>
      </w:r>
      <w:r>
        <w:t>vært en del bevegelse</w:t>
      </w:r>
      <w:r w:rsidR="00402C52">
        <w:t xml:space="preserve"> på medlemskap</w:t>
      </w:r>
      <w:r>
        <w:t xml:space="preserve"> inn og ut av klubben.  </w:t>
      </w:r>
      <w:r w:rsidR="0050260B">
        <w:t xml:space="preserve">Antall medlemmer </w:t>
      </w:r>
      <w:r w:rsidR="00371C12">
        <w:t>pr. 31.12.202</w:t>
      </w:r>
      <w:r w:rsidR="002E07BE">
        <w:t>3</w:t>
      </w:r>
      <w:r w:rsidR="00371C12">
        <w:t xml:space="preserve"> var i alt </w:t>
      </w:r>
      <w:r w:rsidR="00916D72">
        <w:t>163</w:t>
      </w:r>
      <w:r w:rsidR="00081DDF">
        <w:t xml:space="preserve">. En </w:t>
      </w:r>
      <w:r w:rsidR="007C4F4F">
        <w:t xml:space="preserve">økning </w:t>
      </w:r>
      <w:r w:rsidR="00081DDF">
        <w:t>på 2</w:t>
      </w:r>
      <w:r w:rsidR="007C4F4F">
        <w:t>9</w:t>
      </w:r>
      <w:r w:rsidR="00081DDF">
        <w:t xml:space="preserve"> medlemmer. Klubben må fremover jobbe aktivt for å få flere medlemmer og ikke minst se om vi kan få våre tidligere medlemmer aktive igjen.</w:t>
      </w:r>
    </w:p>
    <w:p w14:paraId="122ADAA2" w14:textId="77777777" w:rsidR="007C4F4F" w:rsidRDefault="007C4F4F" w:rsidP="0050260B">
      <w:pPr>
        <w:pStyle w:val="Ingenmellomrom"/>
      </w:pPr>
    </w:p>
    <w:p w14:paraId="053AB627" w14:textId="46FC034B" w:rsidR="007C4F4F" w:rsidRDefault="007C4F4F" w:rsidP="0050260B">
      <w:pPr>
        <w:pStyle w:val="Ingenmellomrom"/>
      </w:pPr>
      <w:r>
        <w:t>Hovden Golfklubb bør være et godt valg for mange golfspillere på Sørlandet</w:t>
      </w:r>
      <w:r w:rsidR="002E07BE">
        <w:t>.</w:t>
      </w:r>
    </w:p>
    <w:p w14:paraId="56EC0FA5" w14:textId="77777777" w:rsidR="00E6430A" w:rsidRDefault="00E6430A" w:rsidP="0050260B">
      <w:pPr>
        <w:pStyle w:val="Ingenmellomrom"/>
      </w:pPr>
    </w:p>
    <w:p w14:paraId="39211072" w14:textId="093A7BCF" w:rsidR="0050260B" w:rsidRDefault="00D37DE0" w:rsidP="0050260B">
      <w:pPr>
        <w:pStyle w:val="Ingenmellomrom"/>
      </w:pPr>
      <w:r>
        <w:t xml:space="preserve">Etter valget på årsmøtet den </w:t>
      </w:r>
      <w:r w:rsidR="00464270">
        <w:t>0</w:t>
      </w:r>
      <w:r w:rsidR="001E4679">
        <w:t>8</w:t>
      </w:r>
      <w:r w:rsidR="00B8113B">
        <w:t>.</w:t>
      </w:r>
      <w:r w:rsidR="00464270">
        <w:t>0</w:t>
      </w:r>
      <w:r w:rsidR="00B8113B">
        <w:t>3.202</w:t>
      </w:r>
      <w:r w:rsidR="001E4679">
        <w:t>3</w:t>
      </w:r>
      <w:r w:rsidR="0050260B">
        <w:t xml:space="preserve">, har styret bestått av styreleder </w:t>
      </w:r>
      <w:r w:rsidR="00464270">
        <w:t>Lars Erik Domaas</w:t>
      </w:r>
      <w:r w:rsidR="0050260B">
        <w:t xml:space="preserve">, nestleder Hege Kjelleberg, </w:t>
      </w:r>
      <w:r w:rsidR="00464270">
        <w:t>styremedlem</w:t>
      </w:r>
      <w:r w:rsidR="0050260B">
        <w:t xml:space="preserve"> </w:t>
      </w:r>
      <w:r w:rsidR="00A970D4">
        <w:t>Trygve Lamark</w:t>
      </w:r>
      <w:r>
        <w:t xml:space="preserve">, </w:t>
      </w:r>
      <w:r w:rsidR="0050260B">
        <w:t xml:space="preserve">styremedlem </w:t>
      </w:r>
      <w:r w:rsidR="00464270">
        <w:t>Astrid Steensby</w:t>
      </w:r>
      <w:r w:rsidR="0050260B">
        <w:t xml:space="preserve"> og </w:t>
      </w:r>
      <w:r w:rsidR="00464270">
        <w:t xml:space="preserve">styremedlem </w:t>
      </w:r>
      <w:r w:rsidR="0050260B">
        <w:t xml:space="preserve">Kent Lund.  Varamedlemmene </w:t>
      </w:r>
      <w:r w:rsidR="00A970D4">
        <w:t>Kim Robin Wintermark</w:t>
      </w:r>
      <w:r w:rsidR="0050260B">
        <w:t xml:space="preserve"> og </w:t>
      </w:r>
      <w:r>
        <w:t xml:space="preserve">Maria Moen </w:t>
      </w:r>
      <w:r w:rsidR="0050260B">
        <w:t xml:space="preserve">har vært innkalt til styremøtene og fått kopi av utsendt informasjon. </w:t>
      </w:r>
      <w:r w:rsidR="00F625A4">
        <w:t>Det har vært tre styremøter i 202</w:t>
      </w:r>
      <w:r w:rsidR="002E697E">
        <w:t>3/2024</w:t>
      </w:r>
      <w:r w:rsidR="00F625A4">
        <w:t xml:space="preserve"> for det nye styret.</w:t>
      </w:r>
      <w:r w:rsidR="0050260B">
        <w:t xml:space="preserve"> </w:t>
      </w:r>
    </w:p>
    <w:p w14:paraId="4480C7A5" w14:textId="77777777" w:rsidR="0050260B" w:rsidRDefault="0050260B" w:rsidP="0050260B">
      <w:pPr>
        <w:pStyle w:val="Ingenmellomrom"/>
      </w:pPr>
    </w:p>
    <w:p w14:paraId="1B77E3CE" w14:textId="2C8CCD12" w:rsidR="00464270" w:rsidRPr="00A9580E" w:rsidRDefault="00464270" w:rsidP="0050260B">
      <w:pPr>
        <w:pStyle w:val="Ingenmellomrom"/>
        <w:rPr>
          <w:b/>
        </w:rPr>
      </w:pPr>
      <w:r w:rsidRPr="00A9580E">
        <w:rPr>
          <w:b/>
        </w:rPr>
        <w:t>Greenkeeper</w:t>
      </w:r>
      <w:r w:rsidR="002172D5">
        <w:rPr>
          <w:b/>
        </w:rPr>
        <w:t>/banekomite</w:t>
      </w:r>
    </w:p>
    <w:p w14:paraId="616B07A9" w14:textId="77777777" w:rsidR="00464270" w:rsidRDefault="00464270" w:rsidP="0050260B">
      <w:pPr>
        <w:pStyle w:val="Ingenmellomrom"/>
      </w:pPr>
    </w:p>
    <w:p w14:paraId="6211D694" w14:textId="14C12991" w:rsidR="008B2F91" w:rsidRDefault="00464270" w:rsidP="0050260B">
      <w:pPr>
        <w:pStyle w:val="Ingenmellomrom"/>
      </w:pPr>
      <w:r>
        <w:t>Ivo Velikov</w:t>
      </w:r>
      <w:r w:rsidR="0050260B">
        <w:t xml:space="preserve"> ble </w:t>
      </w:r>
      <w:r w:rsidR="00FA061E">
        <w:t xml:space="preserve">også i år </w:t>
      </w:r>
      <w:r>
        <w:t>leid inn</w:t>
      </w:r>
      <w:r w:rsidR="0050260B">
        <w:t xml:space="preserve"> som greenkeeper</w:t>
      </w:r>
      <w:r w:rsidR="00D37DE0">
        <w:t xml:space="preserve"> </w:t>
      </w:r>
      <w:r>
        <w:t>fra mai og ut september måned</w:t>
      </w:r>
      <w:r w:rsidR="0050260B">
        <w:t xml:space="preserve">.  Kent Lund har som baneansvarlige hatt opplæring av </w:t>
      </w:r>
      <w:r>
        <w:t>Ivo</w:t>
      </w:r>
      <w:r w:rsidR="008B2F91">
        <w:t>.</w:t>
      </w:r>
      <w:r w:rsidR="00C56CB3">
        <w:t xml:space="preserve"> Ivo har eget firma som Hovden Golfklubb leier tjenester fra på timebasis.</w:t>
      </w:r>
    </w:p>
    <w:p w14:paraId="6161D317" w14:textId="77777777" w:rsidR="008B2F91" w:rsidRDefault="008B2F91" w:rsidP="0050260B">
      <w:pPr>
        <w:pStyle w:val="Ingenmellomrom"/>
      </w:pPr>
    </w:p>
    <w:p w14:paraId="00EC05B5" w14:textId="25C30E70" w:rsidR="008B2F91" w:rsidRDefault="009C24CF" w:rsidP="0050260B">
      <w:pPr>
        <w:pStyle w:val="Ingenmellomrom"/>
      </w:pPr>
      <w:r>
        <w:t>Ivo har fungert veldig bra og vi har fått mange gode tilbakemeldinger</w:t>
      </w:r>
      <w:r w:rsidR="00C56CB3">
        <w:t xml:space="preserve"> på hans arbeid</w:t>
      </w:r>
      <w:r>
        <w:t>. Ivo ønsker å fortsette sesongen 202</w:t>
      </w:r>
      <w:r w:rsidR="00C17CA5">
        <w:t>4</w:t>
      </w:r>
      <w:r>
        <w:t xml:space="preserve"> noe styret har sagt ja til. </w:t>
      </w:r>
    </w:p>
    <w:p w14:paraId="79A396E4" w14:textId="77777777" w:rsidR="009C24CF" w:rsidRDefault="009C24CF" w:rsidP="0050260B">
      <w:pPr>
        <w:pStyle w:val="Ingenmellomrom"/>
      </w:pPr>
    </w:p>
    <w:p w14:paraId="13E09421" w14:textId="69C617FE" w:rsidR="009C24CF" w:rsidRDefault="009C24CF" w:rsidP="0050260B">
      <w:pPr>
        <w:pStyle w:val="Ingenmellomrom"/>
      </w:pPr>
      <w:r>
        <w:t xml:space="preserve">Banekomiteen har gjort en flott jobb og Kent </w:t>
      </w:r>
      <w:r w:rsidR="00C17CA5">
        <w:t>har gjort en kjempejobb som leder av banekomiteen.</w:t>
      </w:r>
      <w:r>
        <w:t xml:space="preserve"> </w:t>
      </w:r>
    </w:p>
    <w:p w14:paraId="79A1D8AA" w14:textId="77777777" w:rsidR="00CC288F" w:rsidRDefault="00CC288F" w:rsidP="0050260B">
      <w:pPr>
        <w:pStyle w:val="Ingenmellomrom"/>
      </w:pPr>
    </w:p>
    <w:p w14:paraId="542A8AD6" w14:textId="1BCF20AF" w:rsidR="00CC288F" w:rsidRDefault="00CC288F" w:rsidP="0050260B">
      <w:pPr>
        <w:pStyle w:val="Ingenmellomrom"/>
      </w:pPr>
      <w:r>
        <w:t>Vi må fortsette å investere i banen vår slik at den gir en best mulig opplevelse for alle som besøker oss. Det gjelder medlemmer og besøkende.</w:t>
      </w:r>
      <w:r w:rsidR="00990D0D">
        <w:t xml:space="preserve"> Vi har en unik bane omkranset av fjell og mye vann</w:t>
      </w:r>
      <w:r w:rsidR="00417A49">
        <w:t>. Det har vært mange flotte tilbakemeldinger. For sesongen 2024 må det brukes mye tid på våre greener og fairways</w:t>
      </w:r>
      <w:r w:rsidR="004761CF">
        <w:t>.</w:t>
      </w:r>
    </w:p>
    <w:p w14:paraId="266B0994" w14:textId="77777777" w:rsidR="00CC288F" w:rsidRDefault="00CC288F" w:rsidP="0050260B">
      <w:pPr>
        <w:pStyle w:val="Ingenmellomrom"/>
      </w:pPr>
    </w:p>
    <w:p w14:paraId="0D214FD1" w14:textId="2AE95259" w:rsidR="00CC288F" w:rsidRDefault="00990D0D" w:rsidP="0050260B">
      <w:pPr>
        <w:pStyle w:val="Ingenmellomrom"/>
      </w:pPr>
      <w:r>
        <w:t>Gode golfbaner snakker man mye om !</w:t>
      </w:r>
    </w:p>
    <w:p w14:paraId="299F7933" w14:textId="77777777" w:rsidR="008B2F91" w:rsidRDefault="008B2F91" w:rsidP="0050260B">
      <w:pPr>
        <w:pStyle w:val="Ingenmellomrom"/>
      </w:pPr>
    </w:p>
    <w:p w14:paraId="65F970BE" w14:textId="77777777" w:rsidR="00D37DE0" w:rsidRDefault="00D37DE0" w:rsidP="0050260B">
      <w:pPr>
        <w:pStyle w:val="Ingenmellomrom"/>
      </w:pPr>
    </w:p>
    <w:p w14:paraId="2D671359" w14:textId="77777777" w:rsidR="00960AC4" w:rsidRDefault="00960AC4" w:rsidP="00960AC4">
      <w:r w:rsidRPr="00AD16D3">
        <w:rPr>
          <w:b/>
        </w:rPr>
        <w:t>Vedlikehold</w:t>
      </w:r>
      <w:r w:rsidR="00E6430A">
        <w:rPr>
          <w:b/>
        </w:rPr>
        <w:t>/drift</w:t>
      </w:r>
      <w:r w:rsidR="007A5964">
        <w:rPr>
          <w:b/>
        </w:rPr>
        <w:t xml:space="preserve"> diverse dugnader</w:t>
      </w:r>
      <w:r>
        <w:t xml:space="preserve">:  </w:t>
      </w:r>
      <w:r w:rsidR="008D75C6">
        <w:t xml:space="preserve"> </w:t>
      </w:r>
    </w:p>
    <w:p w14:paraId="665E0D81" w14:textId="42503D54" w:rsidR="00F625A4" w:rsidRDefault="00C56CB3" w:rsidP="00960AC4">
      <w:r>
        <w:t xml:space="preserve">Vi har hatt store utfordringer med hull 1, </w:t>
      </w:r>
      <w:r w:rsidR="0098115D">
        <w:t xml:space="preserve">litt av </w:t>
      </w:r>
      <w:r>
        <w:t>5, 6 og 7 i sesongen 202</w:t>
      </w:r>
      <w:r w:rsidR="0098115D">
        <w:t>3</w:t>
      </w:r>
      <w:r>
        <w:t>. Mye dødt gress. Vi vet ikke hva dette skylde</w:t>
      </w:r>
      <w:r w:rsidR="00F625A4">
        <w:t>s, men</w:t>
      </w:r>
      <w:r>
        <w:t xml:space="preserve"> hullene ble atskillig bedre etterhvert. Slike sk</w:t>
      </w:r>
      <w:r w:rsidR="00F625A4">
        <w:t>a</w:t>
      </w:r>
      <w:r>
        <w:t>der koster mye penger og ikke minst tid!</w:t>
      </w:r>
    </w:p>
    <w:p w14:paraId="647F2DEF" w14:textId="70DD63CF" w:rsidR="0098115D" w:rsidRDefault="0098115D" w:rsidP="00960AC4">
      <w:r>
        <w:t>Været var dårlig gjennom hele sesongen med mye nedbør og lite varme.</w:t>
      </w:r>
    </w:p>
    <w:p w14:paraId="4138F557" w14:textId="77777777" w:rsidR="00F625A4" w:rsidRDefault="00F625A4" w:rsidP="00960AC4">
      <w:r>
        <w:t xml:space="preserve">Vår og høstdugnad er bra og mange av våre medlemmer stiller. </w:t>
      </w:r>
    </w:p>
    <w:p w14:paraId="57EDA54D" w14:textId="24658879" w:rsidR="00F625A4" w:rsidRDefault="00F625A4" w:rsidP="00960AC4">
      <w:r w:rsidRPr="00F625A4">
        <w:lastRenderedPageBreak/>
        <w:t>Hovden Golfklubb har en e</w:t>
      </w:r>
      <w:r>
        <w:t xml:space="preserve">ldre maskinpark og vi må etterhvert se på utskiftninger. Det er kostbart og vi må finne gode økonomiske løsninger. </w:t>
      </w:r>
    </w:p>
    <w:p w14:paraId="2BDC01CF" w14:textId="77777777" w:rsidR="00DD5E4F" w:rsidRPr="00F625A4" w:rsidRDefault="00DD5E4F" w:rsidP="00960AC4"/>
    <w:p w14:paraId="323E379E" w14:textId="77777777" w:rsidR="00B171A5" w:rsidRDefault="00E6430A" w:rsidP="00E6430A">
      <w:pPr>
        <w:pStyle w:val="Ingenmellomrom"/>
        <w:rPr>
          <w:b/>
        </w:rPr>
      </w:pPr>
      <w:r w:rsidRPr="00F625A4">
        <w:rPr>
          <w:b/>
        </w:rPr>
        <w:t xml:space="preserve">Kiosk/proshop.  </w:t>
      </w:r>
    </w:p>
    <w:p w14:paraId="17E884F0" w14:textId="77777777" w:rsidR="00B171A5" w:rsidRDefault="00B171A5" w:rsidP="00E6430A">
      <w:pPr>
        <w:pStyle w:val="Ingenmellomrom"/>
      </w:pPr>
    </w:p>
    <w:p w14:paraId="4E40AB2D" w14:textId="2CE0D803" w:rsidR="00B171A5" w:rsidRDefault="00E6430A" w:rsidP="00E6430A">
      <w:pPr>
        <w:pStyle w:val="Ingenmellomrom"/>
      </w:pPr>
      <w:r w:rsidRPr="0029027C">
        <w:t xml:space="preserve">Det betyr svært mye for miljøet på banen at vi kan </w:t>
      </w:r>
      <w:r>
        <w:t xml:space="preserve">holde </w:t>
      </w:r>
      <w:r w:rsidRPr="0029027C">
        <w:t>proshop</w:t>
      </w:r>
      <w:r>
        <w:t>en åpen</w:t>
      </w:r>
      <w:r w:rsidRPr="0029027C">
        <w:t xml:space="preserve"> hver helg</w:t>
      </w:r>
      <w:r>
        <w:t xml:space="preserve"> og tilby salg av enkel mat/drikke og noe golfutstyr.  Det er </w:t>
      </w:r>
      <w:r w:rsidRPr="0029027C">
        <w:t>dugnadsmedlemme</w:t>
      </w:r>
      <w:r>
        <w:t>ne som står for dette.</w:t>
      </w:r>
      <w:r w:rsidRPr="0029027C">
        <w:t xml:space="preserve">  </w:t>
      </w:r>
      <w:r>
        <w:t xml:space="preserve">For å dekke opp </w:t>
      </w:r>
      <w:r w:rsidRPr="0029027C">
        <w:t>alle</w:t>
      </w:r>
      <w:r>
        <w:t xml:space="preserve"> helgene</w:t>
      </w:r>
      <w:r w:rsidR="00FE33D4">
        <w:t xml:space="preserve"> ble det for sesongen 202</w:t>
      </w:r>
      <w:r w:rsidR="00BB1870">
        <w:t>3 beholdt</w:t>
      </w:r>
      <w:r w:rsidR="004A7485">
        <w:t xml:space="preserve"> ordningen slik at</w:t>
      </w:r>
      <w:r w:rsidR="00FE33D4">
        <w:t xml:space="preserve"> dugnadsmedlemmer måtte stille to dager i kiosk/proshop. Dett</w:t>
      </w:r>
      <w:r w:rsidR="00B171A5">
        <w:t>e</w:t>
      </w:r>
      <w:r w:rsidR="00FE33D4">
        <w:t xml:space="preserve"> fungerte bra og vi hadde nok til å bemanne hele sesongen.</w:t>
      </w:r>
    </w:p>
    <w:p w14:paraId="21F3BBD6" w14:textId="77777777" w:rsidR="00DD5E4F" w:rsidRDefault="00DD5E4F" w:rsidP="00E6430A">
      <w:pPr>
        <w:pStyle w:val="Ingenmellomrom"/>
      </w:pPr>
    </w:p>
    <w:p w14:paraId="1E79B618" w14:textId="544232B8" w:rsidR="00E6430A" w:rsidRDefault="00E6430A" w:rsidP="00E6430A">
      <w:pPr>
        <w:pStyle w:val="Ingenmellomrom"/>
      </w:pPr>
      <w:r>
        <w:t xml:space="preserve">I høysesongen er det godt besøk på banen, og </w:t>
      </w:r>
      <w:r w:rsidR="00B171A5">
        <w:t>vi hadde sommerhjelp</w:t>
      </w:r>
      <w:r>
        <w:t xml:space="preserve"> for å holde proshopen åpen i ukedagene </w:t>
      </w:r>
      <w:r w:rsidR="00C02BD7">
        <w:t xml:space="preserve">uke </w:t>
      </w:r>
      <w:r>
        <w:t xml:space="preserve">30 og 31 fra kl. 10 - 17.  </w:t>
      </w:r>
      <w:r w:rsidRPr="00CD0652">
        <w:t xml:space="preserve"> </w:t>
      </w:r>
    </w:p>
    <w:p w14:paraId="3E4B76C8" w14:textId="77777777" w:rsidR="00E6430A" w:rsidRDefault="00E6430A" w:rsidP="00E6430A">
      <w:pPr>
        <w:pStyle w:val="Ingenmellomrom"/>
        <w:rPr>
          <w:b/>
        </w:rPr>
      </w:pPr>
    </w:p>
    <w:p w14:paraId="7FF555C2" w14:textId="77777777" w:rsidR="00A670AF" w:rsidRDefault="00A670AF" w:rsidP="00E6430A">
      <w:pPr>
        <w:pStyle w:val="Ingenmellomrom"/>
        <w:rPr>
          <w:b/>
        </w:rPr>
      </w:pPr>
    </w:p>
    <w:p w14:paraId="01E800B8" w14:textId="798594FF" w:rsidR="0050260B" w:rsidRDefault="00960AC4" w:rsidP="00E6430A">
      <w:r w:rsidRPr="00193665">
        <w:rPr>
          <w:b/>
        </w:rPr>
        <w:t>Rekrut</w:t>
      </w:r>
      <w:r>
        <w:rPr>
          <w:b/>
        </w:rPr>
        <w:t>t</w:t>
      </w:r>
      <w:r w:rsidRPr="00193665">
        <w:rPr>
          <w:b/>
        </w:rPr>
        <w:t>ering</w:t>
      </w:r>
      <w:r>
        <w:t xml:space="preserve">: </w:t>
      </w:r>
      <w:r w:rsidR="004A7485">
        <w:t>Lars Erik Domaas</w:t>
      </w:r>
      <w:r>
        <w:t xml:space="preserve"> arrangerte </w:t>
      </w:r>
      <w:r w:rsidR="00DD5E4F">
        <w:t>også i år</w:t>
      </w:r>
      <w:r w:rsidRPr="00491B46">
        <w:t xml:space="preserve"> </w:t>
      </w:r>
      <w:r w:rsidR="00905FF2">
        <w:t xml:space="preserve">et </w:t>
      </w:r>
      <w:r w:rsidRPr="00491B46">
        <w:t xml:space="preserve">VTG-kurs </w:t>
      </w:r>
      <w:r>
        <w:t xml:space="preserve">for i alt </w:t>
      </w:r>
      <w:r w:rsidR="00782AFD">
        <w:t>11</w:t>
      </w:r>
      <w:r>
        <w:t xml:space="preserve"> personer</w:t>
      </w:r>
      <w:r w:rsidR="00BC6C2C">
        <w:t xml:space="preserve">.  Deltakerne fikk </w:t>
      </w:r>
      <w:r>
        <w:t>gratis kurs og medlemskap ut året.  Ved spill på bane</w:t>
      </w:r>
      <w:r w:rsidR="00A85693">
        <w:t>n betalte disse full greenfee etter at kurset var gjennomført.</w:t>
      </w:r>
    </w:p>
    <w:p w14:paraId="39D93D51" w14:textId="77777777" w:rsidR="004156A1" w:rsidRDefault="00E15DF9" w:rsidP="00E6430A">
      <w:r>
        <w:t>Hovden GK hadde også i år</w:t>
      </w:r>
      <w:r w:rsidR="00DD5E4F">
        <w:t xml:space="preserve"> et tilbud til barn og unge om ukentlig golftrening. Golfklubben lånte ut golfsett for de som ikke hadde eget. Et kjempeflott tiltak som og var veldig populært. </w:t>
      </w:r>
      <w:r w:rsidR="00E35AD5">
        <w:t>Etter sommeren dabbet det noe av</w:t>
      </w:r>
      <w:r w:rsidR="004156A1">
        <w:t>.</w:t>
      </w:r>
    </w:p>
    <w:p w14:paraId="3C705575" w14:textId="397D66FD" w:rsidR="00DD5E4F" w:rsidRDefault="00DD5E4F" w:rsidP="00E6430A">
      <w:r>
        <w:t>Dette arbeidet</w:t>
      </w:r>
      <w:r w:rsidR="004156A1">
        <w:t xml:space="preserve"> er utrolig viktig og </w:t>
      </w:r>
      <w:r w:rsidR="00576DF1">
        <w:t>skal videreføres</w:t>
      </w:r>
      <w:r>
        <w:t xml:space="preserve"> i sesongen 202</w:t>
      </w:r>
      <w:r w:rsidR="004156A1">
        <w:t>4.</w:t>
      </w:r>
      <w:r>
        <w:t xml:space="preserve"> Vi har og endret på priser slik at barn og unge betaler en årskontingent og spiller gratis hele sesongen. Vi konkurrerer med mange andre idretter som er gratis i Bykle kommune og vi trenger rekruttering !</w:t>
      </w:r>
    </w:p>
    <w:p w14:paraId="3C8B2F57" w14:textId="3271CD42" w:rsidR="0050260B" w:rsidRDefault="00402C52" w:rsidP="0050260B">
      <w:pPr>
        <w:pStyle w:val="Ingenmellomrom"/>
      </w:pPr>
      <w:r w:rsidRPr="00402C52">
        <w:rPr>
          <w:b/>
        </w:rPr>
        <w:t xml:space="preserve">Arrangement og aktiviteter:  </w:t>
      </w:r>
      <w:r w:rsidRPr="00402C52">
        <w:rPr>
          <w:b/>
        </w:rPr>
        <w:br/>
      </w:r>
      <w:r w:rsidR="0050260B">
        <w:t xml:space="preserve">Klubben hadde sitt klubbmesterskap </w:t>
      </w:r>
      <w:r w:rsidR="00D30D37">
        <w:t>i august som vanlig</w:t>
      </w:r>
      <w:r w:rsidR="0050260B">
        <w:t xml:space="preserve">.  Det har vært medlemskvelder hver onsdag </w:t>
      </w:r>
      <w:r>
        <w:t xml:space="preserve">med </w:t>
      </w:r>
      <w:r w:rsidR="004156A1">
        <w:t xml:space="preserve">dårlig </w:t>
      </w:r>
      <w:r>
        <w:t>oppmøte</w:t>
      </w:r>
      <w:r w:rsidR="00EA3BE8">
        <w:t>.</w:t>
      </w:r>
      <w:r w:rsidR="00D30D37">
        <w:t xml:space="preserve"> Vintergolfen 202</w:t>
      </w:r>
      <w:r w:rsidR="004156A1">
        <w:t>3</w:t>
      </w:r>
      <w:r w:rsidR="00D30D37">
        <w:t xml:space="preserve"> ble arrangert i nydelig vintervær.</w:t>
      </w:r>
      <w:r w:rsidR="0050260B">
        <w:t xml:space="preserve">  </w:t>
      </w:r>
    </w:p>
    <w:p w14:paraId="64AB878B" w14:textId="77777777" w:rsidR="00EA3BE8" w:rsidRDefault="00EA3BE8" w:rsidP="0050260B">
      <w:pPr>
        <w:pStyle w:val="Ingenmellomrom"/>
      </w:pPr>
    </w:p>
    <w:p w14:paraId="61DA2C5A" w14:textId="4B02F161" w:rsidR="00EA3BE8" w:rsidRDefault="00EA3BE8" w:rsidP="0050260B">
      <w:pPr>
        <w:pStyle w:val="Ingenmellomrom"/>
        <w:rPr>
          <w:rFonts w:cstheme="minorHAnsi"/>
        </w:rPr>
      </w:pPr>
      <w:r>
        <w:t>Vi må finne ut av hva våre medlemmer ønsker av aktiviteter</w:t>
      </w:r>
      <w:r w:rsidR="001E7010">
        <w:t xml:space="preserve"> for sesongen 2024.</w:t>
      </w:r>
    </w:p>
    <w:p w14:paraId="42A3F22C" w14:textId="77777777" w:rsidR="00371C12" w:rsidRDefault="00371C12" w:rsidP="00BC6C2C">
      <w:pPr>
        <w:pStyle w:val="Ingenmellomrom"/>
        <w:rPr>
          <w:rFonts w:cstheme="minorHAnsi"/>
          <w:b/>
          <w:color w:val="FF0000"/>
        </w:rPr>
      </w:pPr>
    </w:p>
    <w:p w14:paraId="268E6C76" w14:textId="77777777" w:rsidR="008C470A" w:rsidRPr="007A5964" w:rsidRDefault="0050260B" w:rsidP="00BC6C2C">
      <w:pPr>
        <w:pStyle w:val="Ingenmellomrom"/>
        <w:rPr>
          <w:rFonts w:cstheme="minorHAnsi"/>
          <w:b/>
        </w:rPr>
      </w:pPr>
      <w:r w:rsidRPr="007A5964">
        <w:rPr>
          <w:rFonts w:cstheme="minorHAnsi"/>
          <w:b/>
        </w:rPr>
        <w:t>Økonomi</w:t>
      </w:r>
    </w:p>
    <w:p w14:paraId="40E3A29D" w14:textId="6F4ADA0B" w:rsidR="007A5964" w:rsidRPr="007A5964" w:rsidRDefault="007A5964" w:rsidP="00D30D37">
      <w:pPr>
        <w:pStyle w:val="Ingenmellomrom"/>
        <w:rPr>
          <w:rFonts w:cstheme="minorHAnsi"/>
        </w:rPr>
      </w:pPr>
      <w:r w:rsidRPr="007A5964">
        <w:rPr>
          <w:rFonts w:cstheme="minorHAnsi"/>
        </w:rPr>
        <w:t xml:space="preserve">Resultatet viser </w:t>
      </w:r>
      <w:r w:rsidR="008D75C6">
        <w:rPr>
          <w:rFonts w:cstheme="minorHAnsi"/>
        </w:rPr>
        <w:t>e</w:t>
      </w:r>
      <w:r w:rsidRPr="007A5964">
        <w:rPr>
          <w:rFonts w:cstheme="minorHAnsi"/>
        </w:rPr>
        <w:t xml:space="preserve">t overskudd på kr </w:t>
      </w:r>
      <w:r w:rsidR="00B04C68">
        <w:rPr>
          <w:rFonts w:cstheme="minorHAnsi"/>
        </w:rPr>
        <w:t>255 128</w:t>
      </w:r>
      <w:r w:rsidRPr="007A5964">
        <w:rPr>
          <w:rFonts w:cstheme="minorHAnsi"/>
        </w:rPr>
        <w:t xml:space="preserve">. </w:t>
      </w:r>
      <w:r w:rsidR="008D75C6">
        <w:rPr>
          <w:rFonts w:cstheme="minorHAnsi"/>
        </w:rPr>
        <w:t xml:space="preserve"> </w:t>
      </w:r>
      <w:r w:rsidR="00D30D37">
        <w:rPr>
          <w:rFonts w:cstheme="minorHAnsi"/>
        </w:rPr>
        <w:t>Fremover må det jobbes med kostnadskontroll slik at vi fortsatt kan ha solid økonomi</w:t>
      </w:r>
      <w:r w:rsidR="00320F1B">
        <w:rPr>
          <w:rFonts w:cstheme="minorHAnsi"/>
        </w:rPr>
        <w:t>. Banen, bygninger og maskinpark vil kreve mye av oss framover.</w:t>
      </w:r>
    </w:p>
    <w:p w14:paraId="77E24044" w14:textId="77777777" w:rsidR="007A5964" w:rsidRDefault="007A5964" w:rsidP="007A5964">
      <w:pPr>
        <w:pStyle w:val="Ingenmellomrom"/>
        <w:rPr>
          <w:rFonts w:cstheme="minorHAnsi"/>
          <w:b/>
          <w:color w:val="FF0000"/>
        </w:rPr>
      </w:pPr>
    </w:p>
    <w:tbl>
      <w:tblPr>
        <w:tblW w:w="8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1236"/>
        <w:gridCol w:w="1236"/>
        <w:gridCol w:w="1276"/>
        <w:gridCol w:w="1276"/>
        <w:gridCol w:w="1134"/>
      </w:tblGrid>
      <w:tr w:rsidR="00960F96" w:rsidRPr="00DE74A0" w14:paraId="723881FA" w14:textId="77777777" w:rsidTr="006C561C">
        <w:trPr>
          <w:trHeight w:val="219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6BBC" w14:textId="77777777" w:rsidR="00960F96" w:rsidRPr="00DE74A0" w:rsidRDefault="00960F96" w:rsidP="00EE4565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nb-NO"/>
              </w:rPr>
            </w:pPr>
            <w:r w:rsidRPr="00DE74A0">
              <w:rPr>
                <w:rFonts w:ascii="Arial" w:eastAsia="Times New Roman" w:hAnsi="Arial" w:cs="Arial"/>
                <w:color w:val="2C363A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color w:val="2C363A"/>
                <w:lang w:eastAsia="nb-NO"/>
              </w:rPr>
              <w:t>Hva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47C1F0" w14:textId="3439AFB4" w:rsidR="00960F96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color w:val="2C363A"/>
                <w:lang w:eastAsia="nb-NO"/>
              </w:rPr>
              <w:t>2023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D9EF07" w14:textId="72012079" w:rsidR="00960F96" w:rsidRPr="00DE74A0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color w:val="2C363A"/>
                <w:lang w:eastAsia="nb-NO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B050" w14:textId="009E178F" w:rsidR="00960F96" w:rsidRPr="00DE74A0" w:rsidRDefault="00960F96" w:rsidP="00EE4565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nb-NO"/>
              </w:rPr>
            </w:pPr>
            <w:r w:rsidRPr="00DE74A0">
              <w:rPr>
                <w:rFonts w:ascii="Arial" w:eastAsia="Times New Roman" w:hAnsi="Arial" w:cs="Arial"/>
                <w:color w:val="2C363A"/>
                <w:lang w:eastAsia="nb-NO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E5ED" w14:textId="4B3B5D34" w:rsidR="00960F96" w:rsidRPr="003F1470" w:rsidRDefault="00960F96" w:rsidP="00EE4565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nb-NO"/>
              </w:rPr>
            </w:pPr>
            <w:r w:rsidRPr="003F1470">
              <w:rPr>
                <w:rFonts w:ascii="Arial" w:eastAsia="Times New Roman" w:hAnsi="Arial" w:cs="Arial"/>
                <w:color w:val="2C363A"/>
                <w:lang w:eastAsia="nb-NO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680D" w14:textId="3AA4F551" w:rsidR="00960F96" w:rsidRPr="003F1470" w:rsidRDefault="00960F96" w:rsidP="00EE4565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2</w:t>
            </w:r>
            <w:r w:rsidRPr="003F1470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019</w:t>
            </w:r>
          </w:p>
        </w:tc>
      </w:tr>
      <w:tr w:rsidR="00960F96" w:rsidRPr="00DE74A0" w14:paraId="0F526306" w14:textId="77777777" w:rsidTr="006C561C">
        <w:trPr>
          <w:trHeight w:val="2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4A0E" w14:textId="77777777" w:rsidR="00960F96" w:rsidRPr="00DE74A0" w:rsidRDefault="00960F96" w:rsidP="00EE4565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nb-NO"/>
              </w:rPr>
            </w:pPr>
            <w:r w:rsidRPr="00DE74A0">
              <w:rPr>
                <w:rFonts w:ascii="Arial" w:eastAsia="Times New Roman" w:hAnsi="Arial" w:cs="Arial"/>
                <w:color w:val="2C363A"/>
                <w:lang w:eastAsia="nb-NO"/>
              </w:rPr>
              <w:t>Salgsinntekt Proshop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7C5CB11" w14:textId="0C056DD8" w:rsidR="00960F96" w:rsidRDefault="00AE7B54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42</w:t>
            </w:r>
            <w:r w:rsidR="003F32D5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978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D28ED34" w14:textId="412A1DCB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 xml:space="preserve">  58 240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AFF1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75 549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9866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34 667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77D2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46 870</w:t>
            </w:r>
          </w:p>
        </w:tc>
      </w:tr>
      <w:tr w:rsidR="00960F96" w:rsidRPr="00DE74A0" w14:paraId="2824C9AA" w14:textId="77777777" w:rsidTr="006C561C">
        <w:trPr>
          <w:trHeight w:val="2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8557" w14:textId="77777777" w:rsidR="00960F96" w:rsidRPr="00DE74A0" w:rsidRDefault="00960F96" w:rsidP="00EE4565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nb-NO"/>
              </w:rPr>
            </w:pPr>
            <w:r w:rsidRPr="00DE74A0">
              <w:rPr>
                <w:rFonts w:ascii="Arial" w:eastAsia="Times New Roman" w:hAnsi="Arial" w:cs="Arial"/>
                <w:color w:val="2C363A"/>
                <w:lang w:eastAsia="nb-NO"/>
              </w:rPr>
              <w:t xml:space="preserve">Salgsinntekt reklame 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528C6D2" w14:textId="7AD65846" w:rsidR="00960F96" w:rsidRDefault="003F32D5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176 000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9E1423C" w14:textId="390EBB00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 xml:space="preserve">  145 000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B34A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155 000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0044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F724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100 000</w:t>
            </w:r>
          </w:p>
        </w:tc>
      </w:tr>
      <w:tr w:rsidR="00960F96" w:rsidRPr="00DE74A0" w14:paraId="1D61FCBA" w14:textId="77777777" w:rsidTr="006C561C">
        <w:trPr>
          <w:trHeight w:val="2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5155" w14:textId="77777777" w:rsidR="00960F96" w:rsidRPr="00DE74A0" w:rsidRDefault="00960F96" w:rsidP="00EE4565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nb-NO"/>
              </w:rPr>
            </w:pPr>
            <w:r w:rsidRPr="00DE74A0">
              <w:rPr>
                <w:rFonts w:ascii="Arial" w:eastAsia="Times New Roman" w:hAnsi="Arial" w:cs="Arial"/>
                <w:color w:val="2C363A"/>
                <w:lang w:eastAsia="nb-NO"/>
              </w:rPr>
              <w:t>Salgsinntekt ballaut</w:t>
            </w:r>
            <w:r>
              <w:rPr>
                <w:rFonts w:ascii="Arial" w:eastAsia="Times New Roman" w:hAnsi="Arial" w:cs="Arial"/>
                <w:color w:val="2C363A"/>
                <w:lang w:eastAsia="nb-NO"/>
              </w:rPr>
              <w:t>.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D81043" w14:textId="4753A70C" w:rsidR="00960F96" w:rsidRDefault="003F32D5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32 160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B91E3CC" w14:textId="1109AA54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 xml:space="preserve">  24 288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F29C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39 840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1AEB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30 175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97D1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10 076</w:t>
            </w:r>
          </w:p>
        </w:tc>
      </w:tr>
      <w:tr w:rsidR="00960F96" w:rsidRPr="00DE74A0" w14:paraId="53693078" w14:textId="77777777" w:rsidTr="006C561C">
        <w:trPr>
          <w:trHeight w:val="2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3034" w14:textId="77777777" w:rsidR="00960F96" w:rsidRPr="00DE74A0" w:rsidRDefault="00960F96" w:rsidP="00EE4565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nb-NO"/>
              </w:rPr>
            </w:pPr>
            <w:r w:rsidRPr="00DE74A0">
              <w:rPr>
                <w:rFonts w:ascii="Arial" w:eastAsia="Times New Roman" w:hAnsi="Arial" w:cs="Arial"/>
                <w:color w:val="2C363A"/>
                <w:lang w:eastAsia="nb-NO"/>
              </w:rPr>
              <w:t>Medlemskontingent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193F19" w14:textId="6F3C5E4F" w:rsidR="00960F96" w:rsidRDefault="003F32D5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170 050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E2B236A" w14:textId="4C1BC31E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 xml:space="preserve">  147 100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8243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157 400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F56B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143 350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E2BD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136 245</w:t>
            </w:r>
          </w:p>
        </w:tc>
      </w:tr>
      <w:tr w:rsidR="00960F96" w:rsidRPr="00DE74A0" w14:paraId="22C7797C" w14:textId="77777777" w:rsidTr="006C561C">
        <w:trPr>
          <w:trHeight w:val="219"/>
        </w:trPr>
        <w:tc>
          <w:tcPr>
            <w:tcW w:w="2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5433" w14:textId="77777777" w:rsidR="00960F96" w:rsidRPr="00DE74A0" w:rsidRDefault="00960F96" w:rsidP="00EE4565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eastAsia="nb-NO"/>
              </w:rPr>
            </w:pPr>
            <w:r w:rsidRPr="00DE74A0">
              <w:rPr>
                <w:rFonts w:ascii="Arial" w:eastAsia="Times New Roman" w:hAnsi="Arial" w:cs="Arial"/>
                <w:color w:val="2C363A"/>
                <w:lang w:eastAsia="nb-NO"/>
              </w:rPr>
              <w:t>Salg greenfee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1B8AC" w14:textId="474B3184" w:rsidR="00960F96" w:rsidRDefault="0000335A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236 508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BCB86" w14:textId="24EF5522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 xml:space="preserve">  215 926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807E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332 844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06B8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 w:rsidRPr="00A15FB4"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231 138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6E84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82 655</w:t>
            </w:r>
          </w:p>
        </w:tc>
      </w:tr>
      <w:tr w:rsidR="00960F96" w:rsidRPr="00DE74A0" w14:paraId="0106287B" w14:textId="77777777" w:rsidTr="006C561C">
        <w:trPr>
          <w:trHeight w:val="219"/>
        </w:trPr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5CBB" w14:textId="77777777" w:rsidR="00960F96" w:rsidRPr="00DE74A0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color w:val="2C363A"/>
                <w:lang w:eastAsia="nb-NO"/>
              </w:rPr>
              <w:t>Salg kiosk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2B72A" w14:textId="0638DD62" w:rsidR="00960F96" w:rsidRDefault="0000335A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36 264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E497C" w14:textId="6F6939FE" w:rsidR="00960F96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 xml:space="preserve">  32 750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1096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48 036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0BC1" w14:textId="77777777" w:rsidR="00960F96" w:rsidRPr="00A15FB4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32 125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CCF9" w14:textId="77777777" w:rsidR="00960F96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23 040</w:t>
            </w:r>
          </w:p>
        </w:tc>
      </w:tr>
      <w:tr w:rsidR="00960F96" w:rsidRPr="00DE74A0" w14:paraId="1262D738" w14:textId="77777777" w:rsidTr="006C561C">
        <w:trPr>
          <w:trHeight w:val="219"/>
        </w:trPr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96C0" w14:textId="77777777" w:rsidR="00960F96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color w:val="2C363A"/>
                <w:lang w:eastAsia="nb-NO"/>
              </w:rPr>
              <w:t>Resultat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AEDD2" w14:textId="078EC763" w:rsidR="00960F96" w:rsidRDefault="00B04C68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+ 255 128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33A10" w14:textId="04809042" w:rsidR="00960F96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 xml:space="preserve"> +4253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55DA" w14:textId="77777777" w:rsidR="00960F96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+ 136 256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3E19" w14:textId="77777777" w:rsidR="00960F96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- 9760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1DDF" w14:textId="77777777" w:rsidR="00960F96" w:rsidRDefault="00960F96" w:rsidP="00EE4565">
            <w:pPr>
              <w:spacing w:after="0" w:line="240" w:lineRule="auto"/>
              <w:rPr>
                <w:rFonts w:ascii="Arial" w:eastAsia="Times New Roman" w:hAnsi="Arial" w:cs="Arial"/>
                <w:bCs/>
                <w:color w:val="2C363A"/>
                <w:lang w:eastAsia="nb-NO"/>
              </w:rPr>
            </w:pPr>
            <w:r>
              <w:rPr>
                <w:rFonts w:ascii="Arial" w:eastAsia="Times New Roman" w:hAnsi="Arial" w:cs="Arial"/>
                <w:bCs/>
                <w:color w:val="2C363A"/>
                <w:lang w:eastAsia="nb-NO"/>
              </w:rPr>
              <w:t>- 70 823</w:t>
            </w:r>
          </w:p>
        </w:tc>
      </w:tr>
    </w:tbl>
    <w:p w14:paraId="74E745B3" w14:textId="77777777" w:rsidR="00247EF6" w:rsidRDefault="00247EF6" w:rsidP="007A5964">
      <w:pPr>
        <w:pStyle w:val="Ingenmellomrom"/>
        <w:rPr>
          <w:rFonts w:cstheme="minorHAnsi"/>
          <w:b/>
          <w:color w:val="FF0000"/>
        </w:rPr>
      </w:pPr>
    </w:p>
    <w:p w14:paraId="6769D35E" w14:textId="77777777" w:rsidR="00247EF6" w:rsidRPr="007A5964" w:rsidRDefault="00247EF6" w:rsidP="007A5964">
      <w:pPr>
        <w:pStyle w:val="Ingenmellomrom"/>
        <w:rPr>
          <w:rFonts w:cstheme="minorHAnsi"/>
          <w:b/>
          <w:color w:val="FF0000"/>
        </w:rPr>
      </w:pPr>
    </w:p>
    <w:p w14:paraId="61DEBA5A" w14:textId="77777777" w:rsidR="005C793D" w:rsidRDefault="005C793D" w:rsidP="00BC6C2C">
      <w:pPr>
        <w:pStyle w:val="Ingenmellomrom"/>
      </w:pPr>
    </w:p>
    <w:p w14:paraId="389FFC8A" w14:textId="63E37F79" w:rsidR="008C470A" w:rsidRDefault="008C470A" w:rsidP="0050260B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Sponsorarbeidet:   </w:t>
      </w:r>
      <w:r w:rsidRPr="008C470A">
        <w:rPr>
          <w:rFonts w:cstheme="minorHAnsi"/>
        </w:rPr>
        <w:t>Johannes Væting, Ingrid Helle, og Astri</w:t>
      </w:r>
      <w:r>
        <w:rPr>
          <w:rFonts w:cstheme="minorHAnsi"/>
        </w:rPr>
        <w:t xml:space="preserve">d Steensby har fulgt opp arbeidet og kontakten </w:t>
      </w:r>
      <w:r w:rsidRPr="008C470A">
        <w:rPr>
          <w:rFonts w:cstheme="minorHAnsi"/>
        </w:rPr>
        <w:t>med våre sponsorer.</w:t>
      </w:r>
      <w:r>
        <w:rPr>
          <w:rFonts w:cstheme="minorHAnsi"/>
        </w:rPr>
        <w:t xml:space="preserve"> </w:t>
      </w:r>
    </w:p>
    <w:p w14:paraId="6CA81EE9" w14:textId="46CE3BE1" w:rsidR="00A1597C" w:rsidRDefault="00A1597C" w:rsidP="0050260B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De gjorde en fantastisk jobb i 202</w:t>
      </w:r>
      <w:r w:rsidR="00E9072B">
        <w:rPr>
          <w:rFonts w:cstheme="minorHAnsi"/>
        </w:rPr>
        <w:t>3</w:t>
      </w:r>
      <w:r>
        <w:rPr>
          <w:rFonts w:cstheme="minorHAnsi"/>
        </w:rPr>
        <w:t xml:space="preserve"> – resultatet var 1</w:t>
      </w:r>
      <w:r w:rsidR="00E9072B">
        <w:rPr>
          <w:rFonts w:cstheme="minorHAnsi"/>
        </w:rPr>
        <w:t>76</w:t>
      </w:r>
      <w:r>
        <w:rPr>
          <w:rFonts w:cstheme="minorHAnsi"/>
        </w:rPr>
        <w:t> 000. Utrolige viktige inntekter for klubben.</w:t>
      </w:r>
    </w:p>
    <w:p w14:paraId="08B6B640" w14:textId="13CEEA66" w:rsidR="0050260B" w:rsidRDefault="008C470A" w:rsidP="0050260B">
      <w:pPr>
        <w:spacing w:line="240" w:lineRule="auto"/>
        <w:rPr>
          <w:rFonts w:cstheme="minorHAnsi"/>
          <w:i/>
        </w:rPr>
      </w:pPr>
      <w:r w:rsidRPr="00141B1B">
        <w:rPr>
          <w:rFonts w:cstheme="minorHAnsi"/>
          <w:b/>
        </w:rPr>
        <w:t xml:space="preserve">Klubben takker derfor </w:t>
      </w:r>
      <w:r w:rsidR="00371C12" w:rsidRPr="00141B1B">
        <w:rPr>
          <w:rFonts w:cstheme="minorHAnsi"/>
          <w:b/>
        </w:rPr>
        <w:t xml:space="preserve">disse bedriftene </w:t>
      </w:r>
      <w:r w:rsidRPr="00141B1B">
        <w:rPr>
          <w:rFonts w:cstheme="minorHAnsi"/>
          <w:b/>
        </w:rPr>
        <w:t xml:space="preserve">for </w:t>
      </w:r>
      <w:r w:rsidR="00BC6C2C" w:rsidRPr="00141B1B">
        <w:rPr>
          <w:rFonts w:cstheme="minorHAnsi"/>
          <w:b/>
        </w:rPr>
        <w:t>støtte til</w:t>
      </w:r>
      <w:r w:rsidR="0050260B" w:rsidRPr="00141B1B">
        <w:rPr>
          <w:rFonts w:cstheme="minorHAnsi"/>
          <w:b/>
        </w:rPr>
        <w:t xml:space="preserve"> banen og klubben</w:t>
      </w:r>
      <w:r w:rsidR="00371C12" w:rsidRPr="00141B1B">
        <w:rPr>
          <w:rFonts w:cstheme="minorHAnsi"/>
          <w:b/>
        </w:rPr>
        <w:t xml:space="preserve"> sesongen </w:t>
      </w:r>
      <w:r w:rsidR="00BC6C2C" w:rsidRPr="00141B1B">
        <w:rPr>
          <w:rFonts w:cstheme="minorHAnsi"/>
          <w:b/>
        </w:rPr>
        <w:t>202</w:t>
      </w:r>
      <w:r w:rsidR="00E9072B">
        <w:rPr>
          <w:rFonts w:cstheme="minorHAnsi"/>
          <w:b/>
        </w:rPr>
        <w:t>3</w:t>
      </w:r>
      <w:r w:rsidR="00BC6C2C" w:rsidRPr="00141B1B">
        <w:rPr>
          <w:rFonts w:cstheme="minorHAnsi"/>
          <w:b/>
        </w:rPr>
        <w:t xml:space="preserve">: </w:t>
      </w:r>
      <w:r w:rsidR="0050260B" w:rsidRPr="00141B1B">
        <w:rPr>
          <w:rFonts w:cstheme="minorHAnsi"/>
          <w:b/>
        </w:rPr>
        <w:t xml:space="preserve">    </w:t>
      </w:r>
      <w:r w:rsidR="00A85693" w:rsidRPr="00141B1B">
        <w:rPr>
          <w:rFonts w:cstheme="minorHAnsi"/>
          <w:b/>
        </w:rPr>
        <w:br/>
      </w:r>
      <w:r w:rsidR="0050260B" w:rsidRPr="00141B1B">
        <w:rPr>
          <w:rFonts w:cstheme="minorHAnsi"/>
          <w:i/>
        </w:rPr>
        <w:t xml:space="preserve">Coop Extra,  </w:t>
      </w:r>
      <w:r w:rsidR="001E21B3">
        <w:rPr>
          <w:rFonts w:cstheme="minorHAnsi"/>
          <w:i/>
        </w:rPr>
        <w:t xml:space="preserve">Launes Entreprenør, </w:t>
      </w:r>
      <w:r w:rsidR="009B4C2E">
        <w:rPr>
          <w:rFonts w:cstheme="minorHAnsi"/>
          <w:i/>
        </w:rPr>
        <w:t xml:space="preserve">Otralaft, </w:t>
      </w:r>
      <w:r w:rsidR="0050260B" w:rsidRPr="00141B1B">
        <w:rPr>
          <w:rFonts w:cstheme="minorHAnsi"/>
          <w:i/>
        </w:rPr>
        <w:t>Scanflex,</w:t>
      </w:r>
      <w:r w:rsidR="00A85693" w:rsidRPr="00141B1B">
        <w:rPr>
          <w:rFonts w:cstheme="minorHAnsi"/>
          <w:i/>
        </w:rPr>
        <w:t xml:space="preserve"> </w:t>
      </w:r>
      <w:r w:rsidR="0050260B" w:rsidRPr="00141B1B">
        <w:rPr>
          <w:rFonts w:cstheme="minorHAnsi"/>
          <w:i/>
        </w:rPr>
        <w:t xml:space="preserve"> Bykle Vindu, Hovden Hytteservice, Knut Hovet</w:t>
      </w:r>
      <w:r w:rsidR="00A85693" w:rsidRPr="00141B1B">
        <w:rPr>
          <w:rFonts w:cstheme="minorHAnsi"/>
          <w:i/>
        </w:rPr>
        <w:t xml:space="preserve"> Installasjon AS</w:t>
      </w:r>
      <w:r w:rsidR="0050260B" w:rsidRPr="00141B1B">
        <w:rPr>
          <w:rFonts w:cstheme="minorHAnsi"/>
          <w:i/>
        </w:rPr>
        <w:t>, Merkantilservice, Otra Kraft, Otra Laft, Robert Jegteberg, Setesdalsbygg</w:t>
      </w:r>
      <w:r w:rsidR="008B152F" w:rsidRPr="00141B1B">
        <w:rPr>
          <w:rFonts w:cstheme="minorHAnsi"/>
          <w:i/>
        </w:rPr>
        <w:t xml:space="preserve"> AS</w:t>
      </w:r>
      <w:r w:rsidR="0050260B" w:rsidRPr="00141B1B">
        <w:rPr>
          <w:rFonts w:cstheme="minorHAnsi"/>
          <w:i/>
        </w:rPr>
        <w:t>, Sparebanken Sør, Straume Handlaft, Uppstad VVS, Valle Sparebank, , YX Hovden</w:t>
      </w:r>
      <w:r w:rsidR="00A85693" w:rsidRPr="00141B1B">
        <w:rPr>
          <w:rFonts w:cstheme="minorHAnsi"/>
          <w:i/>
        </w:rPr>
        <w:t xml:space="preserve">, </w:t>
      </w:r>
      <w:r w:rsidR="00141B1B" w:rsidRPr="00141B1B">
        <w:rPr>
          <w:rFonts w:cstheme="minorHAnsi"/>
          <w:i/>
        </w:rPr>
        <w:t xml:space="preserve">Meca </w:t>
      </w:r>
      <w:r w:rsidR="00A85693" w:rsidRPr="00141B1B">
        <w:rPr>
          <w:rFonts w:cstheme="minorHAnsi"/>
          <w:i/>
        </w:rPr>
        <w:t>Bykle Maskin</w:t>
      </w:r>
      <w:r w:rsidR="00141B1B" w:rsidRPr="00141B1B">
        <w:rPr>
          <w:rFonts w:cstheme="minorHAnsi"/>
          <w:i/>
        </w:rPr>
        <w:t xml:space="preserve"> AS</w:t>
      </w:r>
      <w:r w:rsidR="00A85693" w:rsidRPr="00141B1B">
        <w:rPr>
          <w:rFonts w:cstheme="minorHAnsi"/>
          <w:i/>
        </w:rPr>
        <w:t>, BRG Entreprenør , Eiendomsmegler Krogsveen</w:t>
      </w:r>
      <w:r w:rsidR="008B152F" w:rsidRPr="00141B1B">
        <w:rPr>
          <w:rFonts w:cstheme="minorHAnsi"/>
          <w:i/>
        </w:rPr>
        <w:t>, Haukeli Hytter og Hus,</w:t>
      </w:r>
      <w:r w:rsidR="00141B1B" w:rsidRPr="00141B1B">
        <w:rPr>
          <w:rFonts w:cstheme="minorHAnsi"/>
          <w:i/>
        </w:rPr>
        <w:t xml:space="preserve"> Hovden Fjellstoge, Bykle Hotell</w:t>
      </w:r>
      <w:r w:rsidR="003942B3">
        <w:rPr>
          <w:rFonts w:cstheme="minorHAnsi"/>
          <w:i/>
        </w:rPr>
        <w:t>, Kiwi</w:t>
      </w:r>
      <w:r w:rsidR="00222CEF">
        <w:rPr>
          <w:rFonts w:cstheme="minorHAnsi"/>
          <w:i/>
        </w:rPr>
        <w:t>, Hovdestøylen</w:t>
      </w:r>
      <w:r w:rsidR="00853F24">
        <w:rPr>
          <w:rFonts w:cstheme="minorHAnsi"/>
          <w:i/>
        </w:rPr>
        <w:t>, Helle Lefser og Bakeri</w:t>
      </w:r>
      <w:r w:rsidR="00141B1B" w:rsidRPr="00141B1B">
        <w:rPr>
          <w:rFonts w:cstheme="minorHAnsi"/>
          <w:i/>
        </w:rPr>
        <w:t xml:space="preserve"> </w:t>
      </w:r>
      <w:r w:rsidR="008D75C6" w:rsidRPr="00141B1B">
        <w:rPr>
          <w:rFonts w:cstheme="minorHAnsi"/>
          <w:i/>
        </w:rPr>
        <w:t>og</w:t>
      </w:r>
      <w:r w:rsidR="00A85693" w:rsidRPr="00141B1B">
        <w:rPr>
          <w:rFonts w:cstheme="minorHAnsi"/>
          <w:i/>
        </w:rPr>
        <w:t xml:space="preserve"> Fristadsenteret</w:t>
      </w:r>
      <w:r w:rsidRPr="00141B1B">
        <w:rPr>
          <w:rFonts w:cstheme="minorHAnsi"/>
          <w:i/>
        </w:rPr>
        <w:t>.</w:t>
      </w:r>
    </w:p>
    <w:p w14:paraId="647A746A" w14:textId="77777777" w:rsidR="0050260B" w:rsidRDefault="0050260B" w:rsidP="0050260B">
      <w:pPr>
        <w:spacing w:line="240" w:lineRule="auto"/>
        <w:rPr>
          <w:rFonts w:cstheme="minorHAnsi"/>
          <w:i/>
        </w:rPr>
      </w:pPr>
    </w:p>
    <w:p w14:paraId="48D0E511" w14:textId="77777777" w:rsidR="008D75C6" w:rsidRDefault="008D75C6" w:rsidP="0050260B">
      <w:pPr>
        <w:spacing w:line="240" w:lineRule="auto"/>
        <w:rPr>
          <w:rFonts w:cstheme="minorHAnsi"/>
          <w:i/>
        </w:rPr>
      </w:pPr>
    </w:p>
    <w:p w14:paraId="10F09FDC" w14:textId="3A76E4F4" w:rsidR="008D75C6" w:rsidRPr="008D75C6" w:rsidRDefault="008D75C6" w:rsidP="0050260B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8D75C6">
        <w:rPr>
          <w:rFonts w:cstheme="minorHAnsi"/>
          <w:b/>
          <w:i/>
        </w:rPr>
        <w:t xml:space="preserve">Hovden, </w:t>
      </w:r>
      <w:r w:rsidR="00C74F20">
        <w:rPr>
          <w:rFonts w:cstheme="minorHAnsi"/>
          <w:b/>
          <w:i/>
        </w:rPr>
        <w:t>6</w:t>
      </w:r>
      <w:r w:rsidRPr="008D75C6">
        <w:rPr>
          <w:rFonts w:cstheme="minorHAnsi"/>
          <w:b/>
          <w:i/>
        </w:rPr>
        <w:t>. mars 202</w:t>
      </w:r>
      <w:r w:rsidR="00C74F20">
        <w:rPr>
          <w:rFonts w:cstheme="minorHAnsi"/>
          <w:b/>
          <w:i/>
        </w:rPr>
        <w:t>4</w:t>
      </w:r>
    </w:p>
    <w:p w14:paraId="7A3176DC" w14:textId="77777777" w:rsidR="0029027C" w:rsidRDefault="0029027C" w:rsidP="0050260B">
      <w:pPr>
        <w:spacing w:line="240" w:lineRule="auto"/>
        <w:rPr>
          <w:rFonts w:cstheme="minorHAnsi"/>
          <w:i/>
        </w:rPr>
      </w:pPr>
    </w:p>
    <w:p w14:paraId="56A9E21D" w14:textId="77777777" w:rsidR="00580FDC" w:rsidRPr="003D703C" w:rsidRDefault="00580FDC" w:rsidP="0050260B">
      <w:pPr>
        <w:spacing w:line="240" w:lineRule="auto"/>
        <w:rPr>
          <w:rFonts w:cstheme="minorHAnsi"/>
          <w:i/>
        </w:rPr>
      </w:pPr>
    </w:p>
    <w:p w14:paraId="4E5446AE" w14:textId="77777777" w:rsidR="0050260B" w:rsidRPr="004B7F19" w:rsidRDefault="0050260B" w:rsidP="0050260B">
      <w:pPr>
        <w:pStyle w:val="Ingenmellomrom"/>
        <w:rPr>
          <w:rFonts w:cstheme="minorHAnsi"/>
        </w:rPr>
      </w:pPr>
      <w:r w:rsidRPr="004B7F19">
        <w:rPr>
          <w:rFonts w:cstheme="minorHAnsi"/>
        </w:rPr>
        <w:t xml:space="preserve">___________________     </w:t>
      </w:r>
      <w:r w:rsidR="004B2D35">
        <w:rPr>
          <w:rFonts w:cstheme="minorHAnsi"/>
        </w:rPr>
        <w:t xml:space="preserve">          </w:t>
      </w:r>
      <w:r w:rsidRPr="004B7F19">
        <w:rPr>
          <w:rFonts w:cstheme="minorHAnsi"/>
        </w:rPr>
        <w:t>____________________</w:t>
      </w:r>
      <w:r w:rsidRPr="004B7F19">
        <w:rPr>
          <w:rFonts w:cstheme="minorHAnsi"/>
        </w:rPr>
        <w:tab/>
        <w:t xml:space="preserve">    ____________________________</w:t>
      </w:r>
    </w:p>
    <w:p w14:paraId="12285A61" w14:textId="49B1436D" w:rsidR="0050260B" w:rsidRPr="004B2D35" w:rsidRDefault="00F91840" w:rsidP="0050260B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Lars Erik Domaas </w:t>
      </w:r>
      <w:r w:rsidR="0050260B" w:rsidRPr="004B2D35">
        <w:rPr>
          <w:rFonts w:cstheme="minorHAnsi"/>
          <w:sz w:val="20"/>
          <w:szCs w:val="20"/>
        </w:rPr>
        <w:t xml:space="preserve">– leder </w:t>
      </w:r>
      <w:r w:rsidR="0050260B" w:rsidRPr="004B2D35">
        <w:rPr>
          <w:rFonts w:cstheme="minorHAnsi"/>
          <w:sz w:val="20"/>
          <w:szCs w:val="20"/>
        </w:rPr>
        <w:tab/>
        <w:t xml:space="preserve">           </w:t>
      </w:r>
      <w:r w:rsidR="004B2D35">
        <w:rPr>
          <w:rFonts w:cstheme="minorHAnsi"/>
          <w:sz w:val="20"/>
          <w:szCs w:val="20"/>
        </w:rPr>
        <w:t xml:space="preserve">   </w:t>
      </w:r>
      <w:r w:rsidR="0050260B" w:rsidRPr="004B2D35">
        <w:rPr>
          <w:rFonts w:cstheme="minorHAnsi"/>
          <w:sz w:val="20"/>
          <w:szCs w:val="20"/>
        </w:rPr>
        <w:t xml:space="preserve"> Hege </w:t>
      </w:r>
      <w:r w:rsidR="00DD781F">
        <w:rPr>
          <w:rFonts w:cstheme="minorHAnsi"/>
          <w:sz w:val="20"/>
          <w:szCs w:val="20"/>
        </w:rPr>
        <w:t xml:space="preserve">K. </w:t>
      </w:r>
      <w:r w:rsidR="00E35DAB">
        <w:rPr>
          <w:rFonts w:cstheme="minorHAnsi"/>
          <w:sz w:val="20"/>
          <w:szCs w:val="20"/>
        </w:rPr>
        <w:t xml:space="preserve"> </w:t>
      </w:r>
      <w:r w:rsidR="0050260B" w:rsidRPr="004B2D35">
        <w:rPr>
          <w:rFonts w:cstheme="minorHAnsi"/>
          <w:sz w:val="20"/>
          <w:szCs w:val="20"/>
        </w:rPr>
        <w:t>Kjelleberg  n</w:t>
      </w:r>
      <w:r w:rsidR="004B2D35" w:rsidRPr="004B2D35">
        <w:rPr>
          <w:rFonts w:cstheme="minorHAnsi"/>
          <w:sz w:val="20"/>
          <w:szCs w:val="20"/>
        </w:rPr>
        <w:t>estleder</w:t>
      </w:r>
      <w:r w:rsidR="004B2D35" w:rsidRPr="004B2D35">
        <w:rPr>
          <w:rFonts w:cstheme="minorHAnsi"/>
          <w:sz w:val="20"/>
          <w:szCs w:val="20"/>
        </w:rPr>
        <w:tab/>
        <w:t xml:space="preserve">    </w:t>
      </w:r>
      <w:r w:rsidR="00C74F20">
        <w:rPr>
          <w:rFonts w:cstheme="minorHAnsi"/>
          <w:sz w:val="20"/>
          <w:szCs w:val="20"/>
        </w:rPr>
        <w:t>Trygve Lamark - styremedlem</w:t>
      </w:r>
    </w:p>
    <w:p w14:paraId="311FF48F" w14:textId="77777777" w:rsidR="0050260B" w:rsidRDefault="0050260B" w:rsidP="0050260B">
      <w:pPr>
        <w:pStyle w:val="Ingenmellomrom"/>
        <w:rPr>
          <w:rFonts w:cstheme="minorHAnsi"/>
          <w:sz w:val="20"/>
          <w:szCs w:val="20"/>
        </w:rPr>
      </w:pPr>
      <w:r w:rsidRPr="004B2D35">
        <w:rPr>
          <w:rFonts w:cstheme="minorHAnsi"/>
          <w:sz w:val="20"/>
          <w:szCs w:val="20"/>
        </w:rPr>
        <w:br/>
      </w:r>
    </w:p>
    <w:p w14:paraId="31F5EA11" w14:textId="77777777" w:rsidR="00580FDC" w:rsidRPr="004B2D35" w:rsidRDefault="00580FDC" w:rsidP="0050260B">
      <w:pPr>
        <w:pStyle w:val="Ingenmellomrom"/>
        <w:rPr>
          <w:rFonts w:cstheme="minorHAnsi"/>
          <w:sz w:val="20"/>
          <w:szCs w:val="20"/>
        </w:rPr>
      </w:pPr>
    </w:p>
    <w:p w14:paraId="42215908" w14:textId="77777777" w:rsidR="0050260B" w:rsidRPr="00F91840" w:rsidRDefault="0050260B" w:rsidP="0050260B">
      <w:pPr>
        <w:rPr>
          <w:rFonts w:cstheme="minorHAnsi"/>
          <w:sz w:val="20"/>
          <w:szCs w:val="20"/>
        </w:rPr>
      </w:pPr>
      <w:r w:rsidRPr="004B2D35">
        <w:rPr>
          <w:rFonts w:cstheme="minorHAnsi"/>
          <w:sz w:val="20"/>
          <w:szCs w:val="20"/>
        </w:rPr>
        <w:t xml:space="preserve">   _________________________</w:t>
      </w:r>
      <w:r w:rsidRPr="004B2D35">
        <w:rPr>
          <w:rFonts w:cstheme="minorHAnsi"/>
          <w:sz w:val="20"/>
          <w:szCs w:val="20"/>
        </w:rPr>
        <w:tab/>
      </w:r>
      <w:r w:rsidRPr="004B2D35">
        <w:rPr>
          <w:rFonts w:cstheme="minorHAnsi"/>
          <w:sz w:val="20"/>
          <w:szCs w:val="20"/>
        </w:rPr>
        <w:tab/>
      </w:r>
      <w:r w:rsidRPr="004B2D35">
        <w:rPr>
          <w:rFonts w:cstheme="minorHAnsi"/>
          <w:sz w:val="20"/>
          <w:szCs w:val="20"/>
        </w:rPr>
        <w:tab/>
      </w:r>
      <w:r w:rsidRPr="004B2D35">
        <w:rPr>
          <w:rFonts w:cstheme="minorHAnsi"/>
          <w:sz w:val="20"/>
          <w:szCs w:val="20"/>
        </w:rPr>
        <w:tab/>
        <w:t xml:space="preserve">_________________________    </w:t>
      </w:r>
      <w:r w:rsidRPr="004B2D35">
        <w:rPr>
          <w:rFonts w:cstheme="minorHAnsi"/>
          <w:sz w:val="20"/>
          <w:szCs w:val="20"/>
        </w:rPr>
        <w:br/>
        <w:t xml:space="preserve">    </w:t>
      </w:r>
      <w:r w:rsidR="00F91840" w:rsidRPr="004B2D35">
        <w:rPr>
          <w:rFonts w:cstheme="minorHAnsi"/>
          <w:sz w:val="20"/>
          <w:szCs w:val="20"/>
        </w:rPr>
        <w:t xml:space="preserve">Astrid Steensby </w:t>
      </w:r>
      <w:r w:rsidRPr="004B2D35">
        <w:rPr>
          <w:rFonts w:cstheme="minorHAnsi"/>
          <w:sz w:val="20"/>
          <w:szCs w:val="20"/>
        </w:rPr>
        <w:t>-  styremedlem</w:t>
      </w:r>
      <w:r w:rsidRPr="004B2D35">
        <w:rPr>
          <w:rFonts w:cstheme="minorHAnsi"/>
          <w:sz w:val="20"/>
          <w:szCs w:val="20"/>
        </w:rPr>
        <w:tab/>
      </w:r>
      <w:r w:rsidRPr="004B2D35">
        <w:rPr>
          <w:rFonts w:cstheme="minorHAnsi"/>
          <w:sz w:val="20"/>
          <w:szCs w:val="20"/>
        </w:rPr>
        <w:tab/>
        <w:t xml:space="preserve">                                Kent Lund - styremedlem</w:t>
      </w:r>
    </w:p>
    <w:p w14:paraId="14614CFE" w14:textId="77777777" w:rsidR="002035D2" w:rsidRDefault="002035D2"/>
    <w:p w14:paraId="73D371E1" w14:textId="77777777" w:rsidR="00B44289" w:rsidRDefault="00B44289"/>
    <w:p w14:paraId="11C4BB21" w14:textId="77777777" w:rsidR="00B44289" w:rsidRDefault="00B44289"/>
    <w:sectPr w:rsidR="00B4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0B"/>
    <w:rsid w:val="0000335A"/>
    <w:rsid w:val="00045D8E"/>
    <w:rsid w:val="00064C30"/>
    <w:rsid w:val="00081DDF"/>
    <w:rsid w:val="00083946"/>
    <w:rsid w:val="000A42CA"/>
    <w:rsid w:val="000F1851"/>
    <w:rsid w:val="00112F9F"/>
    <w:rsid w:val="00141B1B"/>
    <w:rsid w:val="001902A6"/>
    <w:rsid w:val="00193665"/>
    <w:rsid w:val="001E21B3"/>
    <w:rsid w:val="001E4679"/>
    <w:rsid w:val="001E7010"/>
    <w:rsid w:val="002035D2"/>
    <w:rsid w:val="002172D5"/>
    <w:rsid w:val="00222CEF"/>
    <w:rsid w:val="00244507"/>
    <w:rsid w:val="00247EF6"/>
    <w:rsid w:val="0029027C"/>
    <w:rsid w:val="002C7AF4"/>
    <w:rsid w:val="002D6F84"/>
    <w:rsid w:val="002E07BE"/>
    <w:rsid w:val="002E697E"/>
    <w:rsid w:val="00320F1B"/>
    <w:rsid w:val="00371C12"/>
    <w:rsid w:val="003942B3"/>
    <w:rsid w:val="003F1470"/>
    <w:rsid w:val="003F32D5"/>
    <w:rsid w:val="00402C52"/>
    <w:rsid w:val="004156A1"/>
    <w:rsid w:val="00417A49"/>
    <w:rsid w:val="00434F79"/>
    <w:rsid w:val="00464270"/>
    <w:rsid w:val="004761CF"/>
    <w:rsid w:val="004A7485"/>
    <w:rsid w:val="004B2D35"/>
    <w:rsid w:val="004F68F9"/>
    <w:rsid w:val="0050260B"/>
    <w:rsid w:val="00576DF1"/>
    <w:rsid w:val="00580FDC"/>
    <w:rsid w:val="00597D19"/>
    <w:rsid w:val="005C2230"/>
    <w:rsid w:val="005C793D"/>
    <w:rsid w:val="006221A4"/>
    <w:rsid w:val="0062451E"/>
    <w:rsid w:val="006278D3"/>
    <w:rsid w:val="00646DA1"/>
    <w:rsid w:val="006B3A6B"/>
    <w:rsid w:val="006C561C"/>
    <w:rsid w:val="006D2C7C"/>
    <w:rsid w:val="006F7FE1"/>
    <w:rsid w:val="00761787"/>
    <w:rsid w:val="0078289A"/>
    <w:rsid w:val="00782AFD"/>
    <w:rsid w:val="007941CD"/>
    <w:rsid w:val="007A5964"/>
    <w:rsid w:val="007C4F4F"/>
    <w:rsid w:val="00833A68"/>
    <w:rsid w:val="00853F24"/>
    <w:rsid w:val="00895AB6"/>
    <w:rsid w:val="008B152F"/>
    <w:rsid w:val="008B2F91"/>
    <w:rsid w:val="008C470A"/>
    <w:rsid w:val="008D75C6"/>
    <w:rsid w:val="00903C9C"/>
    <w:rsid w:val="00905FF2"/>
    <w:rsid w:val="00916D72"/>
    <w:rsid w:val="00960AC4"/>
    <w:rsid w:val="00960F96"/>
    <w:rsid w:val="0098115D"/>
    <w:rsid w:val="00990D0D"/>
    <w:rsid w:val="009B4C2E"/>
    <w:rsid w:val="009C24CF"/>
    <w:rsid w:val="00A1597C"/>
    <w:rsid w:val="00A15FB4"/>
    <w:rsid w:val="00A670AF"/>
    <w:rsid w:val="00A85693"/>
    <w:rsid w:val="00A9580E"/>
    <w:rsid w:val="00A970D4"/>
    <w:rsid w:val="00AE7B54"/>
    <w:rsid w:val="00B04C68"/>
    <w:rsid w:val="00B171A5"/>
    <w:rsid w:val="00B44289"/>
    <w:rsid w:val="00B5225D"/>
    <w:rsid w:val="00B8113B"/>
    <w:rsid w:val="00B8435B"/>
    <w:rsid w:val="00BB1870"/>
    <w:rsid w:val="00BC6C2C"/>
    <w:rsid w:val="00C02BD7"/>
    <w:rsid w:val="00C035D9"/>
    <w:rsid w:val="00C17CA5"/>
    <w:rsid w:val="00C56CB3"/>
    <w:rsid w:val="00C74F20"/>
    <w:rsid w:val="00CC288F"/>
    <w:rsid w:val="00CD0652"/>
    <w:rsid w:val="00CF2F9D"/>
    <w:rsid w:val="00D30D37"/>
    <w:rsid w:val="00D37DE0"/>
    <w:rsid w:val="00D8460C"/>
    <w:rsid w:val="00DD5E4F"/>
    <w:rsid w:val="00DD781F"/>
    <w:rsid w:val="00E15DF9"/>
    <w:rsid w:val="00E259DC"/>
    <w:rsid w:val="00E35AD5"/>
    <w:rsid w:val="00E35DAB"/>
    <w:rsid w:val="00E63A5B"/>
    <w:rsid w:val="00E6430A"/>
    <w:rsid w:val="00E9072B"/>
    <w:rsid w:val="00EA3BE8"/>
    <w:rsid w:val="00EA73FA"/>
    <w:rsid w:val="00EE1122"/>
    <w:rsid w:val="00F30E03"/>
    <w:rsid w:val="00F625A4"/>
    <w:rsid w:val="00F91840"/>
    <w:rsid w:val="00FA061E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5ACB"/>
  <w15:chartTrackingRefBased/>
  <w15:docId w15:val="{03486775-FE42-4CA2-ADA3-4F03C99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0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02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912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</dc:creator>
  <cp:keywords/>
  <dc:description/>
  <cp:lastModifiedBy>Lars Erik Domaas</cp:lastModifiedBy>
  <cp:revision>51</cp:revision>
  <dcterms:created xsi:type="dcterms:W3CDTF">2024-02-26T20:20:00Z</dcterms:created>
  <dcterms:modified xsi:type="dcterms:W3CDTF">2024-02-27T19:14:00Z</dcterms:modified>
</cp:coreProperties>
</file>